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ECFF" w14:textId="77777777" w:rsidR="00D67C67" w:rsidRPr="00D67C67" w:rsidRDefault="00D67C67" w:rsidP="00D67C67">
      <w:pPr>
        <w:ind w:left="2832" w:firstLine="708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Alla c.a.</w:t>
      </w:r>
      <w:r w:rsidRPr="00D67C67">
        <w:rPr>
          <w:rFonts w:cstheme="minorHAnsi"/>
          <w:sz w:val="28"/>
          <w:szCs w:val="28"/>
        </w:rPr>
        <w:tab/>
        <w:t>del Presidente del Consiglio Comunale</w:t>
      </w:r>
    </w:p>
    <w:p w14:paraId="257BD64B" w14:textId="77777777" w:rsidR="00D67C67" w:rsidRPr="00D67C67" w:rsidRDefault="00D67C67" w:rsidP="00D67C67">
      <w:pPr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ab/>
      </w:r>
      <w:r w:rsidRPr="00D67C67">
        <w:rPr>
          <w:rFonts w:cstheme="minorHAnsi"/>
          <w:sz w:val="28"/>
          <w:szCs w:val="28"/>
        </w:rPr>
        <w:tab/>
      </w:r>
      <w:r w:rsidRPr="00D67C67">
        <w:rPr>
          <w:rFonts w:cstheme="minorHAnsi"/>
          <w:sz w:val="28"/>
          <w:szCs w:val="28"/>
        </w:rPr>
        <w:tab/>
      </w:r>
      <w:r w:rsidRPr="00D67C67">
        <w:rPr>
          <w:rFonts w:cstheme="minorHAnsi"/>
          <w:sz w:val="28"/>
          <w:szCs w:val="28"/>
        </w:rPr>
        <w:tab/>
      </w:r>
      <w:r w:rsidRPr="00D67C67">
        <w:rPr>
          <w:rFonts w:cstheme="minorHAnsi"/>
          <w:sz w:val="28"/>
          <w:szCs w:val="28"/>
        </w:rPr>
        <w:tab/>
      </w:r>
      <w:r w:rsidRPr="00D67C67">
        <w:rPr>
          <w:rFonts w:cstheme="minorHAnsi"/>
          <w:sz w:val="28"/>
          <w:szCs w:val="28"/>
        </w:rPr>
        <w:tab/>
      </w:r>
      <w:r w:rsidRPr="00D67C67">
        <w:rPr>
          <w:rFonts w:cstheme="minorHAnsi"/>
          <w:sz w:val="28"/>
          <w:szCs w:val="28"/>
        </w:rPr>
        <w:tab/>
        <w:t>del Sindaco</w:t>
      </w:r>
    </w:p>
    <w:p w14:paraId="1AD8C50E" w14:textId="77777777" w:rsidR="00D67C67" w:rsidRPr="00D67C67" w:rsidRDefault="00D67C67" w:rsidP="00D67C67">
      <w:pPr>
        <w:ind w:left="3540" w:firstLine="708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e, p.c. del Segretario Generale</w:t>
      </w:r>
    </w:p>
    <w:p w14:paraId="090C5A58" w14:textId="77777777" w:rsidR="00D67C67" w:rsidRDefault="00D67C67" w:rsidP="00ED188F">
      <w:pPr>
        <w:spacing w:line="276" w:lineRule="auto"/>
        <w:ind w:left="3540" w:firstLine="708"/>
        <w:rPr>
          <w:rFonts w:cstheme="minorHAnsi"/>
          <w:sz w:val="28"/>
          <w:szCs w:val="28"/>
        </w:rPr>
      </w:pPr>
    </w:p>
    <w:p w14:paraId="39F2948C" w14:textId="77777777" w:rsidR="006F64EB" w:rsidRPr="00D67C67" w:rsidRDefault="006F64EB" w:rsidP="00ED188F">
      <w:pPr>
        <w:spacing w:line="276" w:lineRule="auto"/>
        <w:ind w:left="3540" w:firstLine="708"/>
        <w:rPr>
          <w:rFonts w:cstheme="minorHAnsi"/>
          <w:sz w:val="28"/>
          <w:szCs w:val="28"/>
        </w:rPr>
      </w:pPr>
    </w:p>
    <w:p w14:paraId="2A3989A4" w14:textId="77777777" w:rsidR="00D67C67" w:rsidRPr="00D67C67" w:rsidRDefault="00D67C67" w:rsidP="00ED188F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67C67">
        <w:rPr>
          <w:rFonts w:cstheme="minorHAnsi"/>
          <w:b/>
          <w:bCs/>
          <w:sz w:val="28"/>
          <w:szCs w:val="28"/>
        </w:rPr>
        <w:t>MOZIONE URGENTE</w:t>
      </w:r>
    </w:p>
    <w:p w14:paraId="7C6216B1" w14:textId="77777777" w:rsidR="00D67C67" w:rsidRDefault="00D67C67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OGGETTO: Scioglimento dei vincoli per le affrancazioni dopo venti anni in diritto di proprietà</w:t>
      </w:r>
    </w:p>
    <w:p w14:paraId="5A0D7464" w14:textId="77777777" w:rsidR="00E83A80" w:rsidRPr="00D67C67" w:rsidRDefault="00E83A80" w:rsidP="00ED188F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51371657" w14:textId="77777777" w:rsidR="00D67C67" w:rsidRPr="00D67C67" w:rsidRDefault="00D67C67" w:rsidP="00ED188F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67C67">
        <w:rPr>
          <w:rFonts w:cstheme="minorHAnsi"/>
          <w:b/>
          <w:bCs/>
          <w:sz w:val="28"/>
          <w:szCs w:val="28"/>
        </w:rPr>
        <w:t>PRESO ATTO:</w:t>
      </w:r>
    </w:p>
    <w:p w14:paraId="4960E4AB" w14:textId="77777777" w:rsidR="00D67C67" w:rsidRPr="00D67C67" w:rsidRDefault="00D67C67" w:rsidP="00ED188F">
      <w:pPr>
        <w:spacing w:line="276" w:lineRule="auto"/>
        <w:jc w:val="both"/>
        <w:rPr>
          <w:rFonts w:cstheme="minorHAnsi"/>
          <w:i/>
          <w:iCs/>
          <w:sz w:val="28"/>
          <w:szCs w:val="28"/>
        </w:rPr>
      </w:pPr>
      <w:r w:rsidRPr="00D67C67">
        <w:rPr>
          <w:rFonts w:cstheme="minorHAnsi"/>
          <w:sz w:val="28"/>
          <w:szCs w:val="28"/>
        </w:rPr>
        <w:t xml:space="preserve"> dei contenuti della Sentenza della Corte Costituzionale n. 210 del 23.09.2021. </w:t>
      </w:r>
      <w:r w:rsidRPr="00D67C67">
        <w:rPr>
          <w:rFonts w:cstheme="minorHAnsi"/>
          <w:i/>
          <w:iCs/>
          <w:sz w:val="28"/>
          <w:szCs w:val="28"/>
        </w:rPr>
        <w:t>Cessazione dei vincoli convenzionali del prezzo massimo di cessione e del canone di locazione riguardo unità immobiliari realizzate ex art. 35 della Legge n. 865/1971 in diritto di proprietà o trasformate da diritto di superficie in diritto di proprietà.</w:t>
      </w:r>
    </w:p>
    <w:p w14:paraId="25313E87" w14:textId="77777777" w:rsidR="00D67C67" w:rsidRPr="00D67C67" w:rsidRDefault="00D67C67" w:rsidP="00ED188F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67C67">
        <w:rPr>
          <w:rFonts w:cstheme="minorHAnsi"/>
          <w:b/>
          <w:bCs/>
          <w:sz w:val="28"/>
          <w:szCs w:val="28"/>
        </w:rPr>
        <w:t>PREMESSO CHE:</w:t>
      </w:r>
    </w:p>
    <w:p w14:paraId="6D3882AD" w14:textId="77777777" w:rsidR="00D67C67" w:rsidRPr="00D67C67" w:rsidRDefault="00D67C67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con la Sentenza n. 18135 del 16 settembre 2015 della Suprema Corte di Cassazione a</w:t>
      </w:r>
      <w:r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Sezioni Unite è stato affermato il principio secondo cui il vincolo del prezzo massimo</w:t>
      </w:r>
      <w:r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degli alloggi realizzati in regime convenzionale ex art. 35 della Legge n. 865/1971 su</w:t>
      </w:r>
      <w:r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aree Piano Edilizia Economica Popolare (P.E.E.P.), segue il bene, con efficacia</w:t>
      </w:r>
      <w:r w:rsidR="008D131E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indefinita, a meno che non intervenga una Convenzione Integrativa a rimuoverlo;</w:t>
      </w:r>
    </w:p>
    <w:p w14:paraId="2BFA2B8C" w14:textId="77777777" w:rsidR="00D67C67" w:rsidRPr="00D67C67" w:rsidRDefault="00D67C67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 xml:space="preserve">l'Amministrazione </w:t>
      </w:r>
      <w:r w:rsidR="008D131E">
        <w:rPr>
          <w:rFonts w:cstheme="minorHAnsi"/>
          <w:sz w:val="28"/>
          <w:szCs w:val="28"/>
        </w:rPr>
        <w:t>Comunale</w:t>
      </w:r>
      <w:r w:rsidRPr="00D67C67">
        <w:rPr>
          <w:rFonts w:cstheme="minorHAnsi"/>
          <w:sz w:val="28"/>
          <w:szCs w:val="28"/>
        </w:rPr>
        <w:t xml:space="preserve">, nel tempo, </w:t>
      </w:r>
      <w:r w:rsidR="008D131E">
        <w:rPr>
          <w:rFonts w:cstheme="minorHAnsi"/>
          <w:sz w:val="28"/>
          <w:szCs w:val="28"/>
        </w:rPr>
        <w:t>ha adottato il criterio di</w:t>
      </w:r>
      <w:r w:rsidR="008D131E" w:rsidRPr="008D131E">
        <w:rPr>
          <w:rFonts w:cstheme="minorHAnsi"/>
          <w:sz w:val="28"/>
          <w:szCs w:val="28"/>
        </w:rPr>
        <w:t xml:space="preserve"> rimozione del vincolo relativo al prezzo massimo di cessione e locazione degli immobili, realizzati nei Piani di Zona (PDZ), a fronte del pagamento di un corrispettivo da parte del proprietario dell’immobile a favore dell’Amministrazione Comunale. </w:t>
      </w:r>
      <w:r w:rsidRPr="00D67C67">
        <w:rPr>
          <w:rFonts w:cstheme="minorHAnsi"/>
          <w:sz w:val="28"/>
          <w:szCs w:val="28"/>
        </w:rPr>
        <w:t>nonché del canone massimo di locazione, relativamente a porzioni immobiliari destinate</w:t>
      </w:r>
      <w:r w:rsidR="008D131E">
        <w:rPr>
          <w:rFonts w:cstheme="minorHAnsi"/>
          <w:sz w:val="28"/>
          <w:szCs w:val="28"/>
        </w:rPr>
        <w:t>;</w:t>
      </w:r>
    </w:p>
    <w:p w14:paraId="376567B6" w14:textId="77777777" w:rsidR="00D67C67" w:rsidRDefault="00D67C67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in data 31 luglio 2021 è entrata in vigore la Legge 29 luglio 2021, n. 108 (G.U. n. 181</w:t>
      </w:r>
      <w:r w:rsidR="008C05E5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 xml:space="preserve">del 30 luglio 2021 - Suppl. Ordinario n. 26 la quale all'art. 22-bis “Ulteriori </w:t>
      </w:r>
      <w:r w:rsidR="008C05E5">
        <w:rPr>
          <w:rFonts w:cstheme="minorHAnsi"/>
          <w:sz w:val="28"/>
          <w:szCs w:val="28"/>
        </w:rPr>
        <w:t>d</w:t>
      </w:r>
      <w:r w:rsidRPr="00D67C67">
        <w:rPr>
          <w:rFonts w:cstheme="minorHAnsi"/>
          <w:sz w:val="28"/>
          <w:szCs w:val="28"/>
        </w:rPr>
        <w:t>isposizioni</w:t>
      </w:r>
      <w:r w:rsidR="008C05E5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finalizzate ad accelerare le procedure amministrative per la cessione di aree nelle quali</w:t>
      </w:r>
      <w:r w:rsidR="008C05E5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sono stati edificati alloggi di Edilizia Residenziale Pubblica”) apporta una serie di</w:t>
      </w:r>
      <w:r w:rsidR="008C05E5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imponenti modificazioni al precedente regime in materia di cui all'art. 31 della Legge</w:t>
      </w:r>
      <w:r w:rsidR="008C05E5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23 dicembre 1998, n. 448, sostituendo integralmente i commi 47, 48 e 49-bis;</w:t>
      </w:r>
    </w:p>
    <w:p w14:paraId="48488064" w14:textId="77777777" w:rsidR="008C05E5" w:rsidRPr="008C05E5" w:rsidRDefault="008C05E5" w:rsidP="00ED188F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8C05E5">
        <w:rPr>
          <w:rFonts w:cstheme="minorHAnsi"/>
          <w:b/>
          <w:bCs/>
          <w:sz w:val="28"/>
          <w:szCs w:val="28"/>
        </w:rPr>
        <w:lastRenderedPageBreak/>
        <w:t>ATTESO CHE:</w:t>
      </w:r>
    </w:p>
    <w:p w14:paraId="20725CEA" w14:textId="77777777" w:rsidR="00D67C67" w:rsidRPr="00D67C67" w:rsidRDefault="00D67C67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 xml:space="preserve">alla luce di quanto sopra, il </w:t>
      </w:r>
      <w:r w:rsidR="00ED188F" w:rsidRPr="00ED188F">
        <w:rPr>
          <w:rFonts w:cstheme="minorHAnsi"/>
          <w:sz w:val="28"/>
          <w:szCs w:val="28"/>
        </w:rPr>
        <w:t xml:space="preserve">SERVIZIO 6 – </w:t>
      </w:r>
      <w:r w:rsidR="00ED188F">
        <w:rPr>
          <w:rFonts w:cstheme="minorHAnsi"/>
          <w:sz w:val="28"/>
          <w:szCs w:val="28"/>
        </w:rPr>
        <w:t>Edilizia e Urbanistica</w:t>
      </w:r>
      <w:r w:rsidRPr="00D67C67">
        <w:rPr>
          <w:rFonts w:cstheme="minorHAnsi"/>
          <w:sz w:val="28"/>
          <w:szCs w:val="28"/>
        </w:rPr>
        <w:t>,</w:t>
      </w:r>
      <w:r w:rsidR="008C05E5">
        <w:rPr>
          <w:rFonts w:cstheme="minorHAnsi"/>
          <w:sz w:val="28"/>
          <w:szCs w:val="28"/>
        </w:rPr>
        <w:t xml:space="preserve"> attualmente gestito ad interim dal Sindaco, debba </w:t>
      </w:r>
      <w:r w:rsidRPr="00D67C67">
        <w:rPr>
          <w:rFonts w:cstheme="minorHAnsi"/>
          <w:sz w:val="28"/>
          <w:szCs w:val="28"/>
        </w:rPr>
        <w:t>adeguare gli schemi convenzionali in materia attualmente in uso e secondo i moduli</w:t>
      </w:r>
      <w:r w:rsidR="008C05E5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generali ivi contenuti, anche prevedendo modalità transitorie riguardo i calcoli,</w:t>
      </w:r>
      <w:r w:rsidR="008C05E5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versamenti e rimborsi per i casi di corrispettivo di trasformazione e</w:t>
      </w:r>
      <w:r w:rsidR="008C05E5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l'indennità/corrispettivo di rimozione del vincolo del prezzo massimo di cessione e sul</w:t>
      </w:r>
      <w:r w:rsidR="008C05E5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canone di locazione (affrancazione) avvenuti antecedentemente in assenza di</w:t>
      </w:r>
      <w:r w:rsidR="008C05E5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riferiment</w:t>
      </w:r>
      <w:r w:rsidR="008C05E5">
        <w:rPr>
          <w:rFonts w:cstheme="minorHAnsi"/>
          <w:sz w:val="28"/>
          <w:szCs w:val="28"/>
        </w:rPr>
        <w:t>i deliberativi o di determinazioni dirigenziali</w:t>
      </w:r>
    </w:p>
    <w:p w14:paraId="5E6335A7" w14:textId="77777777" w:rsidR="00D67C67" w:rsidRPr="008C05E5" w:rsidRDefault="008C05E5" w:rsidP="00ED188F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8C05E5">
        <w:rPr>
          <w:rFonts w:cstheme="minorHAnsi"/>
          <w:b/>
          <w:bCs/>
          <w:sz w:val="28"/>
          <w:szCs w:val="28"/>
        </w:rPr>
        <w:t>CONSIDERATO CHE:</w:t>
      </w:r>
    </w:p>
    <w:p w14:paraId="1F0E2DCC" w14:textId="77777777" w:rsidR="008C05E5" w:rsidRPr="00D67C67" w:rsidRDefault="00D67C67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il tema della sussistenza-permanenza di tale vincolo anche dopo la decadenza di tutti gli</w:t>
      </w:r>
      <w:r w:rsidR="008C05E5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altri vincoli convenzionali, in caso di immobili realizzati o trasformati in regime di</w:t>
      </w:r>
      <w:r w:rsidR="008C05E5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piena proprietà, è sempre stato molto controverso ed è stato uno dei motivi di Ricors</w:t>
      </w:r>
      <w:r w:rsidR="008C05E5">
        <w:rPr>
          <w:rFonts w:cstheme="minorHAnsi"/>
          <w:sz w:val="28"/>
          <w:szCs w:val="28"/>
        </w:rPr>
        <w:t xml:space="preserve">i </w:t>
      </w:r>
      <w:r w:rsidRPr="00D67C67">
        <w:rPr>
          <w:rFonts w:cstheme="minorHAnsi"/>
          <w:sz w:val="28"/>
          <w:szCs w:val="28"/>
        </w:rPr>
        <w:t>Straordinari al Presidente della Repubblica</w:t>
      </w:r>
      <w:r w:rsidR="008C05E5">
        <w:rPr>
          <w:rFonts w:cstheme="minorHAnsi"/>
          <w:sz w:val="28"/>
          <w:szCs w:val="28"/>
        </w:rPr>
        <w:t>;</w:t>
      </w:r>
    </w:p>
    <w:p w14:paraId="7DFFB4AF" w14:textId="77777777" w:rsidR="00D67C67" w:rsidRPr="00D67C67" w:rsidRDefault="00D67C67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 xml:space="preserve"> la Sentenza n. 210 del</w:t>
      </w:r>
      <w:r w:rsidR="008D1E9A">
        <w:rPr>
          <w:rFonts w:cstheme="minorHAnsi"/>
          <w:sz w:val="28"/>
          <w:szCs w:val="28"/>
        </w:rPr>
        <w:t xml:space="preserve">la Corte Costituzionale del </w:t>
      </w:r>
      <w:r w:rsidRPr="00D67C67">
        <w:rPr>
          <w:rFonts w:cstheme="minorHAnsi"/>
          <w:sz w:val="28"/>
          <w:szCs w:val="28"/>
        </w:rPr>
        <w:t>23 settembre 2021</w:t>
      </w:r>
      <w:r w:rsidR="008D1E9A">
        <w:rPr>
          <w:rFonts w:cstheme="minorHAnsi"/>
          <w:sz w:val="28"/>
          <w:szCs w:val="28"/>
        </w:rPr>
        <w:t>,</w:t>
      </w:r>
      <w:r w:rsidRPr="00D67C67">
        <w:rPr>
          <w:rFonts w:cstheme="minorHAnsi"/>
          <w:sz w:val="28"/>
          <w:szCs w:val="28"/>
        </w:rPr>
        <w:t xml:space="preserve"> </w:t>
      </w:r>
      <w:r w:rsidR="008D1E9A">
        <w:rPr>
          <w:rFonts w:cstheme="minorHAnsi"/>
          <w:sz w:val="28"/>
          <w:szCs w:val="28"/>
        </w:rPr>
        <w:t xml:space="preserve">al punto 9, </w:t>
      </w:r>
      <w:r w:rsidRPr="00D67C67">
        <w:rPr>
          <w:rFonts w:cstheme="minorHAnsi"/>
          <w:sz w:val="28"/>
          <w:szCs w:val="28"/>
        </w:rPr>
        <w:t>ha testualmente affermato che: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"Occorre, poi, considerare che il termine per l'affrancazione - peraltro presente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nell'art. 31, comma 49bis, della Legge n. 448 del 1998, sin dalla sua introduzione ad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opera dell'art. 5, comma 3bis, del Decreto Legge n. 70 del 2011- si mostra coerente con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l'opzione di fondo per la non perpetuità dei vincoli, che emerge dalla legislazione in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materia di edilizia convenzionata e di cui si ha significativa conferma non solo nella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previsione, già nell'originario impianto della Legge n. 865 del 1971, di un termine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ventennale per l'eliminazione del vincolo di inalienabilità degli alloggi concessi in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piena proprietà (art. 35, comma diciassettesimo), ma anche nella successiva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introduzione di moduli consensuali, come le Convenzioni per la trasformazione del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diritto di superficie in piena proprietà e per la sostituzione dei vincoli originari con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quelli della convenzione ai sensi dell'art. 18 del D.P.R. n. 380 del 2001, disciplinate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dall'art. 31, commi 45 e 46, della Legge n. 448 del 1998, dalla cui adozione deriva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anche una riduzione della durata del vincolo del prezzo massimo di cessione";</w:t>
      </w:r>
    </w:p>
    <w:p w14:paraId="55C3AC03" w14:textId="77777777" w:rsidR="00D67C67" w:rsidRPr="00D67C67" w:rsidRDefault="00D67C67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tale statuizione appare definitivamente dirimente circa il controverso tema della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perpetuità-sussistenza o meno del vincolo del prezzo massimo di cessione e del canone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di locazione riguardo i beni già convenzionalmente in origine in diritto di piena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proprietà ovvero oggetto di successiva trasformazione del diritto di superficie (così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precedentemente convenzionato) in diritto di piena proprietà (in virtù di Convenzione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lastRenderedPageBreak/>
        <w:t>Integrativa da sottoscriversi ai sensi dell'art. 31 della Legge n. 448/1998), e anche dopo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trascorsi 20 (venti) anni, occorre quindi adeguare in tali parti gli Schemi convenzionali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 xml:space="preserve">tutt’ora in uso </w:t>
      </w:r>
      <w:r w:rsidR="008D1E9A">
        <w:rPr>
          <w:rFonts w:cstheme="minorHAnsi"/>
          <w:sz w:val="28"/>
          <w:szCs w:val="28"/>
        </w:rPr>
        <w:t xml:space="preserve">presso il Comune di Civitavecchia </w:t>
      </w:r>
      <w:r w:rsidRPr="00D67C67">
        <w:rPr>
          <w:rFonts w:cstheme="minorHAnsi"/>
          <w:sz w:val="28"/>
          <w:szCs w:val="28"/>
        </w:rPr>
        <w:t>prendendo atto di tale principio di diritto e conseguentemente stabilendo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che nessun procedimento di affrancazione e nessun relativo atto notarile o scrittura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privata autenticata sono necessari nel caso sia già trascorsa la scadenza specificata nella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Convenzione per la cessione in proprietà, ovvero in quella relativa alla trasformazione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da diritto di superficie in diritto di piena proprietà; in tal caso tutti i vincoli si intendono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già cessati e, quindi, gli immobili sono liberamente commerciabili senza alcuna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limitazione di prezzo o altri vincoli soggettivi o oggettivi.</w:t>
      </w:r>
    </w:p>
    <w:p w14:paraId="4EAAD478" w14:textId="77777777" w:rsidR="00D67C67" w:rsidRPr="00D67C67" w:rsidRDefault="00D67C67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Per tutto quanto sopra premesso,</w:t>
      </w:r>
    </w:p>
    <w:p w14:paraId="0AA5D038" w14:textId="77777777" w:rsidR="00D67C67" w:rsidRPr="008D1E9A" w:rsidRDefault="008D1E9A" w:rsidP="00ED188F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8D1E9A">
        <w:rPr>
          <w:rFonts w:cstheme="minorHAnsi"/>
          <w:b/>
          <w:bCs/>
          <w:sz w:val="28"/>
          <w:szCs w:val="28"/>
        </w:rPr>
        <w:t>IL CONSIGLIO COMUNALE IMPEGNA IL SINDACO:</w:t>
      </w:r>
    </w:p>
    <w:p w14:paraId="1631B8E8" w14:textId="77777777" w:rsidR="00D67C67" w:rsidRPr="00D67C67" w:rsidRDefault="008D1E9A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D67C67" w:rsidRPr="00D67C67">
        <w:rPr>
          <w:rFonts w:cstheme="minorHAnsi"/>
          <w:sz w:val="28"/>
          <w:szCs w:val="28"/>
        </w:rPr>
        <w:t xml:space="preserve"> </w:t>
      </w:r>
      <w:r w:rsidR="00ED188F">
        <w:rPr>
          <w:rFonts w:cstheme="minorHAnsi"/>
          <w:sz w:val="28"/>
          <w:szCs w:val="28"/>
        </w:rPr>
        <w:t xml:space="preserve">predisporre la deliberazione di Consiglio Comunale che </w:t>
      </w:r>
      <w:r w:rsidR="00D67C67" w:rsidRPr="00D67C67">
        <w:rPr>
          <w:rFonts w:cstheme="minorHAnsi"/>
          <w:sz w:val="28"/>
          <w:szCs w:val="28"/>
        </w:rPr>
        <w:t>prend</w:t>
      </w:r>
      <w:r w:rsidR="00ED188F">
        <w:rPr>
          <w:rFonts w:cstheme="minorHAnsi"/>
          <w:sz w:val="28"/>
          <w:szCs w:val="28"/>
        </w:rPr>
        <w:t>a</w:t>
      </w:r>
      <w:r w:rsidR="00D67C67" w:rsidRPr="00D67C67">
        <w:rPr>
          <w:rFonts w:cstheme="minorHAnsi"/>
          <w:sz w:val="28"/>
          <w:szCs w:val="28"/>
        </w:rPr>
        <w:t xml:space="preserve"> atto dei principi di diritto contenuti nella Sentenza della Corte</w:t>
      </w:r>
      <w:r>
        <w:rPr>
          <w:rFonts w:cstheme="minorHAnsi"/>
          <w:sz w:val="28"/>
          <w:szCs w:val="28"/>
        </w:rPr>
        <w:t xml:space="preserve"> </w:t>
      </w:r>
      <w:r w:rsidR="00D67C67" w:rsidRPr="00D67C67">
        <w:rPr>
          <w:rFonts w:cstheme="minorHAnsi"/>
          <w:sz w:val="28"/>
          <w:szCs w:val="28"/>
        </w:rPr>
        <w:t>Costituzionale n. 210 del 23 settembre 2021 e conseguentemente riconoscere che il</w:t>
      </w:r>
      <w:r>
        <w:rPr>
          <w:rFonts w:cstheme="minorHAnsi"/>
          <w:sz w:val="28"/>
          <w:szCs w:val="28"/>
        </w:rPr>
        <w:t xml:space="preserve"> </w:t>
      </w:r>
      <w:r w:rsidR="00D67C67" w:rsidRPr="00D67C67">
        <w:rPr>
          <w:rFonts w:cstheme="minorHAnsi"/>
          <w:sz w:val="28"/>
          <w:szCs w:val="28"/>
        </w:rPr>
        <w:t>vincolo del prezzo massimo di cessione e del canone di locazione riguardo i beni già</w:t>
      </w:r>
      <w:r>
        <w:rPr>
          <w:rFonts w:cstheme="minorHAnsi"/>
          <w:sz w:val="28"/>
          <w:szCs w:val="28"/>
        </w:rPr>
        <w:t xml:space="preserve"> </w:t>
      </w:r>
      <w:r w:rsidR="00D67C67" w:rsidRPr="00D67C67">
        <w:rPr>
          <w:rFonts w:cstheme="minorHAnsi"/>
          <w:sz w:val="28"/>
          <w:szCs w:val="28"/>
        </w:rPr>
        <w:t>convenzionalmente in origine in diritto di piena proprietà, ovvero oggetto di successiva</w:t>
      </w:r>
      <w:r>
        <w:rPr>
          <w:rFonts w:cstheme="minorHAnsi"/>
          <w:sz w:val="28"/>
          <w:szCs w:val="28"/>
        </w:rPr>
        <w:t xml:space="preserve"> </w:t>
      </w:r>
      <w:r w:rsidR="00D67C67" w:rsidRPr="00D67C67">
        <w:rPr>
          <w:rFonts w:cstheme="minorHAnsi"/>
          <w:sz w:val="28"/>
          <w:szCs w:val="28"/>
        </w:rPr>
        <w:t>trasformazione del diritto di superficie (così precedentemente convenzionato) in diritto</w:t>
      </w:r>
      <w:r>
        <w:rPr>
          <w:rFonts w:cstheme="minorHAnsi"/>
          <w:sz w:val="28"/>
          <w:szCs w:val="28"/>
        </w:rPr>
        <w:t xml:space="preserve"> </w:t>
      </w:r>
      <w:r w:rsidR="00D67C67" w:rsidRPr="00D67C67">
        <w:rPr>
          <w:rFonts w:cstheme="minorHAnsi"/>
          <w:sz w:val="28"/>
          <w:szCs w:val="28"/>
        </w:rPr>
        <w:t>di piena proprietà (in virtù di Convenzione Integrativa ai sensi dell'art. 31 della Legge n.</w:t>
      </w:r>
      <w:r>
        <w:rPr>
          <w:rFonts w:cstheme="minorHAnsi"/>
          <w:sz w:val="28"/>
          <w:szCs w:val="28"/>
        </w:rPr>
        <w:t xml:space="preserve"> </w:t>
      </w:r>
      <w:r w:rsidR="00D67C67" w:rsidRPr="00D67C67">
        <w:rPr>
          <w:rFonts w:cstheme="minorHAnsi"/>
          <w:sz w:val="28"/>
          <w:szCs w:val="28"/>
        </w:rPr>
        <w:t>448/1998), è da intendersi decaduto per effetto dello scadere della durata della</w:t>
      </w:r>
      <w:r>
        <w:rPr>
          <w:rFonts w:cstheme="minorHAnsi"/>
          <w:sz w:val="28"/>
          <w:szCs w:val="28"/>
        </w:rPr>
        <w:t xml:space="preserve"> </w:t>
      </w:r>
      <w:r w:rsidR="00D67C67" w:rsidRPr="00D67C67">
        <w:rPr>
          <w:rFonts w:cstheme="minorHAnsi"/>
          <w:sz w:val="28"/>
          <w:szCs w:val="28"/>
        </w:rPr>
        <w:t>Convenzione, alla pari degli altri vincoli convenzionali di natura oggettiva e soggettiva;</w:t>
      </w:r>
    </w:p>
    <w:p w14:paraId="0C8F577A" w14:textId="77777777" w:rsidR="00D67C67" w:rsidRPr="00D67C67" w:rsidRDefault="00D67C67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di stabilire che, per gli effetti di cui al punto precedente, ai fini dell'individuazione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concreta della durata di ciascuna Convenzione,</w:t>
      </w:r>
      <w:r w:rsidR="00ED188F">
        <w:rPr>
          <w:rFonts w:cstheme="minorHAnsi"/>
          <w:sz w:val="28"/>
          <w:szCs w:val="28"/>
        </w:rPr>
        <w:t xml:space="preserve"> </w:t>
      </w:r>
      <w:r w:rsidR="00E83A80">
        <w:rPr>
          <w:rFonts w:cstheme="minorHAnsi"/>
          <w:sz w:val="28"/>
          <w:szCs w:val="28"/>
        </w:rPr>
        <w:t>nella delibera di cui sopra</w:t>
      </w:r>
      <w:r w:rsidRPr="00D67C67">
        <w:rPr>
          <w:rFonts w:cstheme="minorHAnsi"/>
          <w:sz w:val="28"/>
          <w:szCs w:val="28"/>
        </w:rPr>
        <w:t xml:space="preserve"> si farà riferimento ai seguenti criteri:</w:t>
      </w:r>
    </w:p>
    <w:p w14:paraId="721BA9D3" w14:textId="77777777" w:rsidR="00D67C67" w:rsidRPr="00D67C67" w:rsidRDefault="00D67C67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a) riguardo le Convenzioni già dall'origine sottoscritte in diritto di piena proprietà si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farà riferimento alla durata stabilita nella Convenzione medesima;</w:t>
      </w:r>
    </w:p>
    <w:p w14:paraId="2A4F00EF" w14:textId="77777777" w:rsidR="00D67C67" w:rsidRPr="00D67C67" w:rsidRDefault="00D67C67" w:rsidP="00ED188F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b) nei casi di Convenzione in diritto di proprietà ma quale trasformata poiché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originariamente stipulata in diritto di superficie, la durata della Convenzione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trasformata è stabilita in anni 20 (venti) quali derivanti dall'applicazione del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comma 46, lettera a), dell'art. 31 delle Legge 23 dicembre 1998, n. 448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 xml:space="preserve">e </w:t>
      </w:r>
      <w:proofErr w:type="spellStart"/>
      <w:r w:rsidRPr="00D67C67">
        <w:rPr>
          <w:rFonts w:cstheme="minorHAnsi"/>
          <w:sz w:val="28"/>
          <w:szCs w:val="28"/>
        </w:rPr>
        <w:t>ss.mm.ii</w:t>
      </w:r>
      <w:proofErr w:type="spellEnd"/>
      <w:r w:rsidRPr="00D67C67">
        <w:rPr>
          <w:rFonts w:cstheme="minorHAnsi"/>
          <w:sz w:val="28"/>
          <w:szCs w:val="28"/>
        </w:rPr>
        <w:t>., norma che a riguardo stabilisce la suddetta durata di 20 (venti) anni;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detta durata è da computarsi diminuendo del tempo trascorso fra la data di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stipulazione della Convenzione originaria per la concessione del diritto di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superficie e quella di stipulazione dell’atto di trasformazione dal diritto di</w:t>
      </w:r>
      <w:r w:rsidR="008D1E9A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superficie in diritto di proprietà;</w:t>
      </w:r>
    </w:p>
    <w:p w14:paraId="33E39F46" w14:textId="77777777" w:rsidR="00D67C67" w:rsidRPr="00D67C67" w:rsidRDefault="00D67C67" w:rsidP="00E83A80">
      <w:pPr>
        <w:spacing w:line="276" w:lineRule="auto"/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lastRenderedPageBreak/>
        <w:t xml:space="preserve">di dare mandato al </w:t>
      </w:r>
      <w:r w:rsidR="00ED188F" w:rsidRPr="00ED188F">
        <w:rPr>
          <w:rFonts w:cstheme="minorHAnsi"/>
          <w:sz w:val="28"/>
          <w:szCs w:val="28"/>
        </w:rPr>
        <w:t xml:space="preserve">SERVIZIO 6 – </w:t>
      </w:r>
      <w:r w:rsidR="00ED188F">
        <w:rPr>
          <w:rFonts w:cstheme="minorHAnsi"/>
          <w:sz w:val="28"/>
          <w:szCs w:val="28"/>
        </w:rPr>
        <w:t>Edilizia e Urbanistica</w:t>
      </w:r>
      <w:r w:rsidR="00E83A80">
        <w:rPr>
          <w:rFonts w:cstheme="minorHAnsi"/>
          <w:sz w:val="28"/>
          <w:szCs w:val="28"/>
        </w:rPr>
        <w:t xml:space="preserve">, </w:t>
      </w:r>
      <w:r w:rsidR="00E83A80" w:rsidRPr="00D67C67">
        <w:rPr>
          <w:rFonts w:cstheme="minorHAnsi"/>
          <w:sz w:val="28"/>
          <w:szCs w:val="28"/>
        </w:rPr>
        <w:t>a seguito dell'approvazione della deliberazione</w:t>
      </w:r>
      <w:r w:rsidR="00E83A80">
        <w:rPr>
          <w:rFonts w:cstheme="minorHAnsi"/>
          <w:sz w:val="28"/>
          <w:szCs w:val="28"/>
        </w:rPr>
        <w:t xml:space="preserve"> di Consiglio Comunale conseguente l’approvazione della presente mozione,</w:t>
      </w:r>
      <w:r w:rsidR="00ED188F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di</w:t>
      </w:r>
      <w:r w:rsidR="00ED188F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comunicare sul</w:t>
      </w:r>
      <w:r w:rsidR="00ED188F">
        <w:rPr>
          <w:rFonts w:cstheme="minorHAnsi"/>
          <w:sz w:val="28"/>
          <w:szCs w:val="28"/>
        </w:rPr>
        <w:t xml:space="preserve"> sito</w:t>
      </w:r>
      <w:r w:rsidRPr="00D67C67">
        <w:rPr>
          <w:rFonts w:cstheme="minorHAnsi"/>
          <w:sz w:val="28"/>
          <w:szCs w:val="28"/>
        </w:rPr>
        <w:t xml:space="preserve"> </w:t>
      </w:r>
      <w:r w:rsidR="00ED188F">
        <w:rPr>
          <w:rFonts w:cstheme="minorHAnsi"/>
          <w:sz w:val="28"/>
          <w:szCs w:val="28"/>
        </w:rPr>
        <w:t xml:space="preserve">istituzionale del Comune di Civitavecchia </w:t>
      </w:r>
      <w:r w:rsidRPr="00D67C67">
        <w:rPr>
          <w:rFonts w:cstheme="minorHAnsi"/>
          <w:sz w:val="28"/>
          <w:szCs w:val="28"/>
        </w:rPr>
        <w:t>l'iter secondo il quale saranno trattate le</w:t>
      </w:r>
      <w:r w:rsidR="00ED188F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istanze già presentate di affrancazione;</w:t>
      </w:r>
    </w:p>
    <w:p w14:paraId="3E622116" w14:textId="77777777" w:rsidR="00D67C67" w:rsidRPr="00D67C67" w:rsidRDefault="00D67C67" w:rsidP="00E83A80">
      <w:pPr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di stabilire che, in tali casi, nessun procedimento di affrancazione e nessun relativo atto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notarile-negoziale in qualunque forma sono necessari ove sia già trascorsa la scadenza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specificata nella Convenzione; in tali casi tutti i vincoli si intendono già cessati per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effetto del decorso del tempo e, quindi, gli immobili sono liberamente commerciabili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senza alcuna limitazione di prezzo o altri vincoli soggettivi o oggettivi ove derivanti da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Convenzione;</w:t>
      </w:r>
    </w:p>
    <w:p w14:paraId="559C2EF8" w14:textId="77777777" w:rsidR="00D67C67" w:rsidRPr="00D67C67" w:rsidRDefault="00D67C67" w:rsidP="00E83A80">
      <w:pPr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>di adeguare in tali parti gli Schemi convenzionali tuttora in uso in tale senso ed in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particolare inserendo una clausola, a sostituzione di quelle precedentemente in essere,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del seguente tenore e precisamente attestante che allo scadere della Convenzione tutti i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vincoli convenzionali si intendono cessati e, quindi, gli immobili sono liberamente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commerciabili senza alcuna limitazione di prezzo o altri vincoli soggettivi o oggettivi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derivanti dalla Convenzione stessa;</w:t>
      </w:r>
    </w:p>
    <w:p w14:paraId="63C2C219" w14:textId="77777777" w:rsidR="00D67C67" w:rsidRDefault="00D67C67" w:rsidP="00E83A80">
      <w:pPr>
        <w:jc w:val="both"/>
        <w:rPr>
          <w:rFonts w:cstheme="minorHAnsi"/>
          <w:sz w:val="28"/>
          <w:szCs w:val="28"/>
        </w:rPr>
      </w:pPr>
      <w:r w:rsidRPr="00D67C67">
        <w:rPr>
          <w:rFonts w:cstheme="minorHAnsi"/>
          <w:sz w:val="28"/>
          <w:szCs w:val="28"/>
        </w:rPr>
        <w:t xml:space="preserve">di conferire espresso mandato agli Uffici del </w:t>
      </w:r>
      <w:r w:rsidR="00E83A80" w:rsidRPr="00ED188F">
        <w:rPr>
          <w:rFonts w:cstheme="minorHAnsi"/>
          <w:sz w:val="28"/>
          <w:szCs w:val="28"/>
        </w:rPr>
        <w:t xml:space="preserve">SERVIZIO 6 – </w:t>
      </w:r>
      <w:r w:rsidR="00E83A80">
        <w:rPr>
          <w:rFonts w:cstheme="minorHAnsi"/>
          <w:sz w:val="28"/>
          <w:szCs w:val="28"/>
        </w:rPr>
        <w:t xml:space="preserve">Edilizia e Urbanistica </w:t>
      </w:r>
      <w:r w:rsidRPr="00D67C67">
        <w:rPr>
          <w:rFonts w:cstheme="minorHAnsi"/>
          <w:sz w:val="28"/>
          <w:szCs w:val="28"/>
        </w:rPr>
        <w:t>affinché possano modificare e adeguare di volta in volta gli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Schemi convenzionali in uso in caso di sopravvenute modificazioni normative che non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comportino la spendita di discrezionalità amministrativa di competenza degli organi</w:t>
      </w:r>
      <w:r w:rsidR="00E83A80">
        <w:rPr>
          <w:rFonts w:cstheme="minorHAnsi"/>
          <w:sz w:val="28"/>
          <w:szCs w:val="28"/>
        </w:rPr>
        <w:t xml:space="preserve"> </w:t>
      </w:r>
      <w:r w:rsidRPr="00D67C67">
        <w:rPr>
          <w:rFonts w:cstheme="minorHAnsi"/>
          <w:sz w:val="28"/>
          <w:szCs w:val="28"/>
        </w:rPr>
        <w:t>deliberanti;</w:t>
      </w:r>
    </w:p>
    <w:p w14:paraId="419D2966" w14:textId="0DC4509D" w:rsidR="00E83A80" w:rsidRDefault="00E83A80" w:rsidP="00E83A8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Civitavecchia, 1</w:t>
      </w:r>
      <w:r w:rsidR="00B062B0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marzo ’22</w:t>
      </w:r>
    </w:p>
    <w:p w14:paraId="454A129C" w14:textId="77777777" w:rsidR="006F64EB" w:rsidRDefault="006F64EB" w:rsidP="00E83A80">
      <w:pPr>
        <w:jc w:val="both"/>
        <w:rPr>
          <w:rFonts w:cstheme="minorHAnsi"/>
          <w:sz w:val="28"/>
          <w:szCs w:val="28"/>
        </w:rPr>
      </w:pPr>
    </w:p>
    <w:p w14:paraId="45B8BB5F" w14:textId="77777777" w:rsidR="00E83A80" w:rsidRDefault="00E83A80" w:rsidP="00E83A8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Il Gruppo Consiliare del Partito Democratico</w:t>
      </w:r>
    </w:p>
    <w:p w14:paraId="5AF8F70A" w14:textId="26DC9313" w:rsidR="00E83A80" w:rsidRDefault="00E83A80" w:rsidP="00E83A80">
      <w:pPr>
        <w:ind w:left="3540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Piendibene, De Angelis, Di Gennaro, Scilipoti</w:t>
      </w:r>
    </w:p>
    <w:p w14:paraId="7702F89F" w14:textId="22524B07" w:rsidR="00B062B0" w:rsidRPr="00D67C67" w:rsidRDefault="00B062B0" w:rsidP="00E83A80">
      <w:pPr>
        <w:ind w:left="3540" w:firstLine="708"/>
        <w:jc w:val="both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A151F03" wp14:editId="5B24A469">
            <wp:extent cx="3200400" cy="1034512"/>
            <wp:effectExtent l="0" t="0" r="0" b="0"/>
            <wp:docPr id="1" name="Immagine 1" descr="Immagine che contiene testo, utensileperaprire, stru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756" cy="1091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62B0" w:rsidRPr="00D67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67"/>
    <w:rsid w:val="006F64EB"/>
    <w:rsid w:val="008C05E5"/>
    <w:rsid w:val="008D131E"/>
    <w:rsid w:val="008D1E9A"/>
    <w:rsid w:val="009328AB"/>
    <w:rsid w:val="009C0082"/>
    <w:rsid w:val="00B062B0"/>
    <w:rsid w:val="00D67C67"/>
    <w:rsid w:val="00E83A80"/>
    <w:rsid w:val="00E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316D"/>
  <w15:chartTrackingRefBased/>
  <w15:docId w15:val="{E8D072B3-A444-421F-8EA5-F81834BA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Piendibene Marco - (Tirreno Power)</dc:creator>
  <cp:keywords/>
  <dc:description/>
  <cp:lastModifiedBy>Utente</cp:lastModifiedBy>
  <cp:revision>2</cp:revision>
  <dcterms:created xsi:type="dcterms:W3CDTF">2022-03-11T10:39:00Z</dcterms:created>
  <dcterms:modified xsi:type="dcterms:W3CDTF">2022-03-11T10:39:00Z</dcterms:modified>
</cp:coreProperties>
</file>